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87969" w14:textId="1304078D" w:rsidR="005A198E" w:rsidRDefault="00DD5792" w:rsidP="003D55BA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Retribuciones</w:t>
      </w:r>
    </w:p>
    <w:p w14:paraId="24FC4F19" w14:textId="77777777" w:rsidR="003D55BA" w:rsidRDefault="003D55BA" w:rsidP="003D55B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79C69F" w14:textId="77777777" w:rsidR="00DD5792" w:rsidRPr="00DD5792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b/>
          <w:bCs/>
          <w:szCs w:val="22"/>
        </w:rPr>
        <w:t>1048. Retribución percibida anualmente, articulada en función de la clase o categoría del órgano, y en caso de dedicación parcial, especificando la dedicación mínima exigida.</w:t>
      </w:r>
    </w:p>
    <w:p w14:paraId="1EC57EE8" w14:textId="77777777" w:rsidR="00DD5792" w:rsidRPr="00DD5792" w:rsidRDefault="00DD5792" w:rsidP="00DD5792">
      <w:pPr>
        <w:jc w:val="both"/>
        <w:rPr>
          <w:rFonts w:cs="Arial"/>
          <w:szCs w:val="22"/>
        </w:rPr>
      </w:pPr>
      <w:r w:rsidRPr="00DD5792">
        <w:rPr>
          <w:rFonts w:cs="Arial"/>
          <w:szCs w:val="22"/>
        </w:rPr>
        <w:t xml:space="preserve">Los cargos en el Patronato de la Fundación Canaria Centro Internacional de Agricultura Biológica, CIAB, tendrán el carácter de gratuitos. No </w:t>
      </w:r>
      <w:proofErr w:type="gramStart"/>
      <w:r w:rsidRPr="00DD5792">
        <w:rPr>
          <w:rFonts w:cs="Arial"/>
          <w:szCs w:val="22"/>
        </w:rPr>
        <w:t>obstante</w:t>
      </w:r>
      <w:proofErr w:type="gramEnd"/>
      <w:r w:rsidRPr="00DD5792">
        <w:rPr>
          <w:rFonts w:cs="Arial"/>
          <w:szCs w:val="22"/>
        </w:rPr>
        <w:t xml:space="preserve"> tendrán derecho sus titulares al reintegro de los gastos de desplazamiento y alojamiento que hubieren de efectuar para asistir a las reuniones del órgano del que forman parte, previa justificación de los mismos “artículo 12”. No se ha realizado en la actualidad ningún reintegro de gastos a los Patronos.</w:t>
      </w:r>
    </w:p>
    <w:p w14:paraId="53B11D4B" w14:textId="77777777" w:rsidR="00DD5792" w:rsidRDefault="00DD5792" w:rsidP="00DD5792">
      <w:pPr>
        <w:jc w:val="both"/>
        <w:rPr>
          <w:rFonts w:cs="Arial"/>
          <w:szCs w:val="22"/>
        </w:rPr>
      </w:pPr>
    </w:p>
    <w:p w14:paraId="4A322104" w14:textId="4CBDA255" w:rsidR="00DD5792" w:rsidRPr="00DD5792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b/>
          <w:bCs/>
          <w:szCs w:val="22"/>
        </w:rPr>
        <w:t>1050. Indemnizaciones percibidas por ocasión del abandono del cargo.</w:t>
      </w:r>
    </w:p>
    <w:p w14:paraId="0169FEAB" w14:textId="77777777" w:rsidR="00DD5792" w:rsidRDefault="00DD5792" w:rsidP="00DD5792">
      <w:pPr>
        <w:jc w:val="both"/>
        <w:rPr>
          <w:rFonts w:cs="Arial"/>
          <w:szCs w:val="22"/>
        </w:rPr>
      </w:pPr>
      <w:r w:rsidRPr="00DD5792">
        <w:rPr>
          <w:rFonts w:cs="Arial"/>
          <w:szCs w:val="22"/>
        </w:rPr>
        <w:t>Durante el año 2025 los cargos de la entidad no percibieron indemnizaciones por abandono del cargo.</w:t>
      </w:r>
    </w:p>
    <w:p w14:paraId="3D72FA3A" w14:textId="77777777" w:rsidR="00DD5792" w:rsidRPr="00DD5792" w:rsidRDefault="00DD5792" w:rsidP="00DD5792">
      <w:pPr>
        <w:jc w:val="both"/>
        <w:rPr>
          <w:rFonts w:cs="Arial"/>
          <w:szCs w:val="22"/>
        </w:rPr>
      </w:pPr>
    </w:p>
    <w:p w14:paraId="5A5B97F2" w14:textId="77777777" w:rsidR="00DD5792" w:rsidRPr="00DD5792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b/>
          <w:bCs/>
          <w:szCs w:val="22"/>
        </w:rPr>
        <w:t>1053. Información general de las retribuciones del personal funcionario, estatutario y laboral, articulada en función de los niveles y cargos existentes; y, en el caso de las entidades del sector público local, diferenciando las básicas de las complementarias.</w:t>
      </w:r>
    </w:p>
    <w:p w14:paraId="62B9CC09" w14:textId="77777777" w:rsidR="00DD5792" w:rsidRPr="00DD5792" w:rsidRDefault="00DD5792" w:rsidP="00DD5792">
      <w:pPr>
        <w:jc w:val="both"/>
        <w:rPr>
          <w:rFonts w:cs="Arial"/>
          <w:szCs w:val="22"/>
        </w:rPr>
      </w:pPr>
      <w:r w:rsidRPr="00DD5792">
        <w:rPr>
          <w:rFonts w:cs="Arial"/>
          <w:szCs w:val="22"/>
        </w:rPr>
        <w:t>La Fundación Canaria Centro Internacional de Agricultura Biológica no disponía de personal contratado durante los años 2021, 2022, 2023, 2024.</w:t>
      </w:r>
    </w:p>
    <w:p w14:paraId="06E1171B" w14:textId="0CD55D20" w:rsidR="00DD5792" w:rsidRPr="00DD5792" w:rsidRDefault="00DD5792" w:rsidP="00DD5792">
      <w:pPr>
        <w:jc w:val="both"/>
        <w:rPr>
          <w:rFonts w:cs="Arial"/>
          <w:szCs w:val="22"/>
        </w:rPr>
      </w:pPr>
      <w:r w:rsidRPr="00DD5792">
        <w:rPr>
          <w:rFonts w:cs="Arial"/>
          <w:szCs w:val="22"/>
        </w:rPr>
        <w:t>En el año 2025 se ha contratado el siguiente personal:</w:t>
      </w:r>
    </w:p>
    <w:p w14:paraId="45B681E3" w14:textId="77777777" w:rsidR="00DD5792" w:rsidRDefault="00DD5792" w:rsidP="00DD5792">
      <w:pPr>
        <w:jc w:val="both"/>
        <w:rPr>
          <w:rStyle w:val="Hipervnculo"/>
          <w:rFonts w:cs="Arial"/>
          <w:szCs w:val="22"/>
        </w:rPr>
      </w:pPr>
      <w:hyperlink r:id="rId7" w:tgtFrame="_blank" w:history="1">
        <w:r>
          <w:rPr>
            <w:rStyle w:val="Hipervnculo"/>
            <w:rFonts w:cs="Arial"/>
            <w:szCs w:val="22"/>
          </w:rPr>
          <w:t>Plantilla 2025</w:t>
        </w:r>
        <w:r w:rsidRPr="003D55BA">
          <w:rPr>
            <w:rStyle w:val="Hipervnculo"/>
            <w:rFonts w:cs="Arial"/>
            <w:szCs w:val="22"/>
          </w:rPr>
          <w:t xml:space="preserve"> (</w:t>
        </w:r>
        <w:proofErr w:type="spellStart"/>
        <w:r w:rsidRPr="003D55BA">
          <w:rPr>
            <w:rStyle w:val="Hipervnculo"/>
            <w:rFonts w:cs="Arial"/>
            <w:szCs w:val="22"/>
          </w:rPr>
          <w:t>pdf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         </w:t>
      </w:r>
      <w:hyperlink r:id="rId8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odt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  <w:r>
        <w:rPr>
          <w:rStyle w:val="Hipervnculo"/>
          <w:rFonts w:cs="Arial"/>
          <w:szCs w:val="22"/>
        </w:rPr>
        <w:t xml:space="preserve"> </w:t>
      </w:r>
      <w:r w:rsidRPr="003D55BA">
        <w:rPr>
          <w:rFonts w:cs="Arial"/>
          <w:szCs w:val="22"/>
        </w:rPr>
        <w:tab/>
      </w:r>
      <w:r>
        <w:rPr>
          <w:rFonts w:cs="Arial"/>
          <w:szCs w:val="22"/>
        </w:rPr>
        <w:t xml:space="preserve">             </w:t>
      </w:r>
      <w:r>
        <w:rPr>
          <w:rStyle w:val="Hipervnculo"/>
          <w:rFonts w:cs="Arial"/>
          <w:szCs w:val="22"/>
          <w:u w:val="none"/>
        </w:rPr>
        <w:t xml:space="preserve">      </w:t>
      </w:r>
      <w:hyperlink r:id="rId9" w:tgtFrame="_blank" w:history="1">
        <w:r w:rsidRPr="003D55BA">
          <w:rPr>
            <w:rStyle w:val="Hipervnculo"/>
            <w:rFonts w:cs="Arial"/>
            <w:szCs w:val="22"/>
          </w:rPr>
          <w:t>P</w:t>
        </w:r>
        <w:r>
          <w:rPr>
            <w:rStyle w:val="Hipervnculo"/>
            <w:rFonts w:cs="Arial"/>
            <w:szCs w:val="22"/>
          </w:rPr>
          <w:t>lantilla</w:t>
        </w:r>
        <w:r w:rsidRPr="003D55BA">
          <w:rPr>
            <w:rStyle w:val="Hipervnculo"/>
            <w:rFonts w:cs="Arial"/>
            <w:szCs w:val="22"/>
          </w:rPr>
          <w:t xml:space="preserve"> 2025 (</w:t>
        </w:r>
        <w:proofErr w:type="spellStart"/>
        <w:r w:rsidRPr="003D55BA">
          <w:rPr>
            <w:rStyle w:val="Hipervnculo"/>
            <w:rFonts w:cs="Arial"/>
            <w:szCs w:val="22"/>
          </w:rPr>
          <w:t>doc</w:t>
        </w:r>
        <w:proofErr w:type="spellEnd"/>
        <w:r w:rsidRPr="003D55BA">
          <w:rPr>
            <w:rStyle w:val="Hipervnculo"/>
            <w:rFonts w:cs="Arial"/>
            <w:szCs w:val="22"/>
          </w:rPr>
          <w:t>)</w:t>
        </w:r>
      </w:hyperlink>
    </w:p>
    <w:p w14:paraId="29D4C2EA" w14:textId="77777777" w:rsidR="00DD5792" w:rsidRDefault="00DD5792" w:rsidP="00DD5792">
      <w:pPr>
        <w:jc w:val="both"/>
        <w:rPr>
          <w:rStyle w:val="Hipervnculo"/>
          <w:rFonts w:cs="Arial"/>
          <w:szCs w:val="22"/>
        </w:rPr>
      </w:pPr>
    </w:p>
    <w:p w14:paraId="47C5B2BB" w14:textId="05A1C37A" w:rsidR="00DD5792" w:rsidRPr="00DD5792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b/>
          <w:bCs/>
          <w:szCs w:val="22"/>
        </w:rPr>
        <w:t>1054. Aportaciones a planes de pensiones o seguros colectivos y cualquier retribución extra salarial, articulada en función de los niveles y cargos existentes.</w:t>
      </w:r>
    </w:p>
    <w:p w14:paraId="06668C53" w14:textId="77777777" w:rsidR="00DD5792" w:rsidRDefault="00DD5792" w:rsidP="00DD5792">
      <w:pPr>
        <w:jc w:val="both"/>
        <w:rPr>
          <w:rFonts w:cs="Arial"/>
          <w:szCs w:val="22"/>
        </w:rPr>
      </w:pPr>
      <w:r w:rsidRPr="00DD5792">
        <w:rPr>
          <w:rFonts w:cs="Arial"/>
          <w:szCs w:val="22"/>
        </w:rPr>
        <w:t>Durante el año 2025 la entidad no ha realizado aportaciones a planes de pensiones o seguros colectivos, ni ninguna otra retribución extrasalarial.</w:t>
      </w:r>
    </w:p>
    <w:p w14:paraId="040AAF6B" w14:textId="77777777" w:rsidR="00DD5792" w:rsidRPr="00DD5792" w:rsidRDefault="00DD5792" w:rsidP="00DD5792">
      <w:pPr>
        <w:jc w:val="both"/>
        <w:rPr>
          <w:rFonts w:cs="Arial"/>
          <w:szCs w:val="22"/>
        </w:rPr>
      </w:pPr>
    </w:p>
    <w:p w14:paraId="2721FE35" w14:textId="77777777" w:rsidR="00DD5792" w:rsidRPr="00DD5792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b/>
          <w:bCs/>
          <w:szCs w:val="22"/>
        </w:rPr>
        <w:t>1056. Viajes, manutención, alojamiento y asistencia a órganos colegiados o sociales.</w:t>
      </w:r>
    </w:p>
    <w:p w14:paraId="4791681A" w14:textId="28A9A16F" w:rsidR="003D55BA" w:rsidRDefault="00DD5792" w:rsidP="00DD5792">
      <w:pPr>
        <w:jc w:val="both"/>
        <w:rPr>
          <w:rFonts w:cs="Arial"/>
          <w:b/>
          <w:bCs/>
          <w:szCs w:val="22"/>
        </w:rPr>
      </w:pPr>
      <w:r w:rsidRPr="00DD5792">
        <w:rPr>
          <w:rFonts w:cs="Arial"/>
          <w:szCs w:val="22"/>
        </w:rPr>
        <w:t>En el </w:t>
      </w:r>
      <w:hyperlink r:id="rId10" w:tgtFrame="_blank" w:history="1">
        <w:r w:rsidRPr="00DD5792">
          <w:rPr>
            <w:rStyle w:val="Hipervnculo"/>
            <w:rFonts w:cs="Arial"/>
            <w:szCs w:val="22"/>
          </w:rPr>
          <w:t>artículo 12 de los Estatutos</w:t>
        </w:r>
      </w:hyperlink>
      <w:r w:rsidRPr="00DD5792">
        <w:rPr>
          <w:rFonts w:cs="Arial"/>
          <w:szCs w:val="22"/>
        </w:rPr>
        <w:t> de la entidad se establece que los cargos del Patronato son gratuitos, pero sus titulares tienen derecho al reintegro de los gastos de desplazamiento y alojamiento que deban realizar para asistir a las reuniones del órgano del que formen parte, siempre que los justifiquen.</w:t>
      </w:r>
      <w:r w:rsidRPr="003D55BA">
        <w:rPr>
          <w:rFonts w:cs="Arial"/>
          <w:szCs w:val="22"/>
        </w:rPr>
        <w:t xml:space="preserve"> </w:t>
      </w:r>
    </w:p>
    <w:p w14:paraId="4ED7A75E" w14:textId="77777777" w:rsidR="009E65C8" w:rsidRPr="009E65C8" w:rsidRDefault="009E65C8" w:rsidP="003D55BA">
      <w:pPr>
        <w:jc w:val="both"/>
        <w:rPr>
          <w:rFonts w:cs="Arial"/>
          <w:b/>
          <w:bCs/>
          <w:szCs w:val="22"/>
          <w:u w:val="single"/>
        </w:rPr>
      </w:pPr>
    </w:p>
    <w:p w14:paraId="798BD56E" w14:textId="5F43D00D" w:rsidR="003D55BA" w:rsidRPr="003D55BA" w:rsidRDefault="003D55BA" w:rsidP="003D55BA">
      <w:pPr>
        <w:jc w:val="both"/>
        <w:rPr>
          <w:rFonts w:cs="Arial"/>
          <w:b/>
          <w:bCs/>
          <w:szCs w:val="22"/>
        </w:rPr>
      </w:pPr>
      <w:r w:rsidRPr="003D55BA">
        <w:rPr>
          <w:rFonts w:cs="Arial"/>
          <w:b/>
          <w:bCs/>
          <w:szCs w:val="22"/>
        </w:rPr>
        <w:t>1047. Identificación personal, puesto de trabajo que desempeña y actividad o actividades para las que se autoriza la compatibilidad, y en su caso, Boletín Oficial en el que se publicaron.</w:t>
      </w:r>
    </w:p>
    <w:p w14:paraId="0487DF1E" w14:textId="77777777" w:rsidR="003D55BA" w:rsidRPr="003D55BA" w:rsidRDefault="003D55BA" w:rsidP="003D55BA">
      <w:pPr>
        <w:jc w:val="both"/>
        <w:rPr>
          <w:rFonts w:cs="Arial"/>
          <w:szCs w:val="22"/>
        </w:rPr>
      </w:pPr>
      <w:r w:rsidRPr="003D55BA">
        <w:rPr>
          <w:rFonts w:cs="Arial"/>
          <w:szCs w:val="22"/>
        </w:rPr>
        <w:t>La Fundación CIAB no otorgó autorizaciones de compatibilidad en el año 2025.</w:t>
      </w:r>
    </w:p>
    <w:p w14:paraId="365DB5A3" w14:textId="1FC7F7B6" w:rsidR="005A198E" w:rsidRPr="005A198E" w:rsidRDefault="005A198E" w:rsidP="003D55BA">
      <w:pPr>
        <w:jc w:val="both"/>
        <w:rPr>
          <w:szCs w:val="22"/>
        </w:rPr>
      </w:pPr>
    </w:p>
    <w:sectPr w:rsidR="005A198E" w:rsidRPr="005A198E" w:rsidSect="002D3C87">
      <w:headerReference w:type="default" r:id="rId11"/>
      <w:footerReference w:type="default" r:id="rId12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CC84" w14:textId="77777777" w:rsidR="00DF65BB" w:rsidRDefault="00DF65BB" w:rsidP="00D3213F">
      <w:r>
        <w:separator/>
      </w:r>
    </w:p>
  </w:endnote>
  <w:endnote w:type="continuationSeparator" w:id="0">
    <w:p w14:paraId="75927674" w14:textId="77777777" w:rsidR="00DF65BB" w:rsidRDefault="00DF65BB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6C9CD" w14:textId="77777777" w:rsidR="00DF65BB" w:rsidRDefault="00DF65BB" w:rsidP="00D3213F">
      <w:r>
        <w:separator/>
      </w:r>
    </w:p>
  </w:footnote>
  <w:footnote w:type="continuationSeparator" w:id="0">
    <w:p w14:paraId="689E773E" w14:textId="77777777" w:rsidR="00DF65BB" w:rsidRDefault="00DF65BB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1"/>
  </w:num>
  <w:num w:numId="2" w16cid:durableId="925117858">
    <w:abstractNumId w:val="8"/>
  </w:num>
  <w:num w:numId="3" w16cid:durableId="1164317016">
    <w:abstractNumId w:val="4"/>
  </w:num>
  <w:num w:numId="4" w16cid:durableId="1877496911">
    <w:abstractNumId w:val="7"/>
  </w:num>
  <w:num w:numId="5" w16cid:durableId="155532320">
    <w:abstractNumId w:val="10"/>
  </w:num>
  <w:num w:numId="6" w16cid:durableId="1386638135">
    <w:abstractNumId w:val="11"/>
  </w:num>
  <w:num w:numId="7" w16cid:durableId="1965890539">
    <w:abstractNumId w:val="2"/>
  </w:num>
  <w:num w:numId="8" w16cid:durableId="592468924">
    <w:abstractNumId w:val="9"/>
  </w:num>
  <w:num w:numId="9" w16cid:durableId="607860616">
    <w:abstractNumId w:val="0"/>
  </w:num>
  <w:num w:numId="10" w16cid:durableId="356351492">
    <w:abstractNumId w:val="5"/>
  </w:num>
  <w:num w:numId="11" w16cid:durableId="544607176">
    <w:abstractNumId w:val="3"/>
  </w:num>
  <w:num w:numId="12" w16cid:durableId="185142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505D1"/>
    <w:rsid w:val="00372EC0"/>
    <w:rsid w:val="003D55BA"/>
    <w:rsid w:val="004A43F0"/>
    <w:rsid w:val="005464CC"/>
    <w:rsid w:val="005A198E"/>
    <w:rsid w:val="005E1740"/>
    <w:rsid w:val="005F2185"/>
    <w:rsid w:val="00635631"/>
    <w:rsid w:val="00643DE6"/>
    <w:rsid w:val="006C7CC5"/>
    <w:rsid w:val="00703C78"/>
    <w:rsid w:val="00776037"/>
    <w:rsid w:val="0083197A"/>
    <w:rsid w:val="008F0CE7"/>
    <w:rsid w:val="00935112"/>
    <w:rsid w:val="009A293F"/>
    <w:rsid w:val="009E65C8"/>
    <w:rsid w:val="00A42612"/>
    <w:rsid w:val="00A8643D"/>
    <w:rsid w:val="00AF4B5A"/>
    <w:rsid w:val="00B37488"/>
    <w:rsid w:val="00B62882"/>
    <w:rsid w:val="00BE5C70"/>
    <w:rsid w:val="00BF116F"/>
    <w:rsid w:val="00C420EF"/>
    <w:rsid w:val="00D3213F"/>
    <w:rsid w:val="00D84DF8"/>
    <w:rsid w:val="00DD36A6"/>
    <w:rsid w:val="00DD5792"/>
    <w:rsid w:val="00DF65BB"/>
    <w:rsid w:val="00E31E89"/>
    <w:rsid w:val="00EF6EC5"/>
    <w:rsid w:val="00F029E8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nciab.com/wp-content/uploads/2026/04/PLANTILLA-DE-PERSONAL-2025.od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ndacionciab.com/wp-content/uploads/2026/04/PLANTILLA-DE-PERSONAL-2025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undacionciab.com/wp-content/uploads/2024/02/EscrituraConstitucionFundacionCIAB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undacionciab.com/wp-content/uploads/2026/04/PLANTILLA-DE-PERSONAL-2025.do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2026-04-22T09:11:00Z</cp:lastPrinted>
  <dcterms:created xsi:type="dcterms:W3CDTF">2026-04-22T09:25:00Z</dcterms:created>
  <dcterms:modified xsi:type="dcterms:W3CDTF">2026-04-22T09:25:00Z</dcterms:modified>
</cp:coreProperties>
</file>